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5"/>
        <w:shd w:val="clear" w:color="auto" w:fill="auto"/>
      </w:pPr>
      <w:r>
        <w:t xml:space="preserve">1. Общая информация</w:t>
      </w:r>
      <w:r/>
    </w:p>
    <w:tbl>
      <w:tblPr>
        <w:tblStyle w:val="856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988"/>
        <w:gridCol w:w="6511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511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58"/>
              </w:rPr>
              <w:t xml:space="preserve">Информация </w:t>
            </w:r>
            <w:r/>
          </w:p>
        </w:tc>
      </w:tr>
      <w:tr>
        <w:tblPrEx/>
        <w:trPr>
          <w:trHeight w:val="1762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511" w:type="dxa"/>
            <w:vAlign w:val="center"/>
            <w:textDirection w:val="lrTb"/>
            <w:noWrap w:val="false"/>
          </w:tcPr>
          <w:p>
            <w:pPr>
              <w:contextualSpacing/>
              <w:ind w:left="0" w:right="0" w:firstLine="0"/>
              <w:jc w:val="both"/>
              <w:spacing w:before="0" w:beforeAutospacing="0" w:after="0" w:afterAutospacing="0" w:line="240" w:lineRule="auto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14:ligatures w14:val="no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14:ligatures w14:val="none"/>
              </w:rPr>
              <w:t xml:space="preserve">КПД 42.21.21. 000 Выполнение строительно-монтажных работ по объекту: Строительство перемычки «Авангард» между магистралью ТМ-11 и магистралью «Горьковская»: строительство перемычки от узла 146.40 ул. Производственная до магистрали «Горьковская» (район ПНС-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14:ligatures w14:val="no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14:ligatures w14:val="none"/>
              </w:rPr>
              <w:t xml:space="preserve">22) Ду= 1000 мм протяженностью L=3,5 х 2 км; реконструкция магистрали ТМ-11 на участках: от ПНС-111 до узла 145 ул. Производственная с  Ду=800/600 мм на Ду = 1000 мм, 1,622 х 2 км; от узла 145 ул. Производственная до узла 146.40 с Ду=400 мм на Ду = 1000 мм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4"/>
                <w:szCs w:val="24"/>
                <w14:ligatures w14:val="none"/>
              </w:rPr>
              <w:t xml:space="preserve">, L=1,084 х 2 км., в рамках реализации инвестиционного проекта J_505-ХТСКх-76.</w:t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8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51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en-US"/>
              </w:rPr>
              <w:t xml:space="preserve">22126009-ТПИР ОБСЛ-2026-ДГК-ХТС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sz w:val="24"/>
                <w:szCs w:val="24"/>
              </w:rPr>
            </w:pPr>
            <w:r>
              <w:rPr>
                <w:rStyle w:val="858"/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858"/>
                <w:rFonts w:ascii="Times New Roman" w:hAnsi="Times New Roman" w:eastAsia="Times New Roman" w:cs="Times New Roman"/>
                <w:sz w:val="24"/>
                <w:szCs w:val="24"/>
              </w:rPr>
              <w:t xml:space="preserve">НМЦ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511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en-US"/>
              </w:rPr>
              <w:t xml:space="preserve">21 714 788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en-US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highlight w:val="white"/>
                <w:lang w:eastAsia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руб. без НДС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-Ресурсно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-индексный метод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-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Обоснование расчета НМЦ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: прилагаемый локальный сметный расчет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приложение № 5 к Техническим требованиям)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27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character" w:styleId="852" w:customStyle="1">
    <w:name w:val="Основной текст (14)_"/>
    <w:basedOn w:val="681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71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81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71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8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Основной текст (2)_"/>
    <w:basedOn w:val="681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71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lutfullina_ee</cp:lastModifiedBy>
  <cp:revision>43</cp:revision>
  <dcterms:created xsi:type="dcterms:W3CDTF">2021-07-07T07:07:00Z</dcterms:created>
  <dcterms:modified xsi:type="dcterms:W3CDTF">2026-03-05T01:02:20Z</dcterms:modified>
</cp:coreProperties>
</file>